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719" w:rsidRDefault="00A43719" w:rsidP="00A43719">
      <w:pPr>
        <w:jc w:val="both"/>
        <w:rPr>
          <w:rFonts w:ascii="Arial" w:hAnsi="Arial" w:cs="Arial"/>
          <w:b/>
          <w:sz w:val="24"/>
          <w:szCs w:val="24"/>
        </w:rPr>
      </w:pPr>
    </w:p>
    <w:p w:rsidR="00A43719" w:rsidRPr="008C14F8" w:rsidRDefault="00A43719" w:rsidP="00A43719">
      <w:pPr>
        <w:jc w:val="both"/>
        <w:rPr>
          <w:rFonts w:ascii="Arial" w:hAnsi="Arial" w:cs="Arial"/>
          <w:sz w:val="24"/>
          <w:szCs w:val="24"/>
        </w:rPr>
      </w:pPr>
      <w:r w:rsidRPr="008C14F8">
        <w:rPr>
          <w:rFonts w:ascii="Arial" w:hAnsi="Arial" w:cs="Arial"/>
          <w:sz w:val="24"/>
          <w:szCs w:val="24"/>
        </w:rPr>
        <w:t xml:space="preserve">Bu liste, etkin bir Sosyal Yönetim Sistemi için gereken dokümanları göstermektedir. Güncel ve minimum 12 aylık kayıtlar denetim için mevcut olmalıdır. Tatmin edici kanıtların aranması için olan denetim tekniğinin bir bölümü olarak, denetçi listeden olan belgeleri ve söz konusu denetim için geçerli olabilecekleri onaylayacaktır. Denetlenecek olan iş ortakları BSCI Denetimi için daha iyi hazırlanmak üzere bilgi toplamak konusunda bu listeyi kullanarak kendilerine yarar sağlayacaktır.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BSCI uygulamasının yer aldığı görev tanımları</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BSCI’ı uygulamadan sorumlu kişinin vasıflarının kanıtları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Güvenlik personeli, temizlik ve diğer hizmetlerle ilgili olanlar da dahil olmak üzere istihdam sözleşmeleri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Gıda hizmetleri, ulaşım, acenteler de dahil olmak üzere hizmet sağlayıcıları ile sözleşme</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İş bulma kurumları da dahil olmak üzere işçi sözleşmeleri veya anlaşmaları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İstihdam sözleşmeleri ve/veya işçilerin hak ve yükümlülüklerin gösterildiği posterler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Makineler ve araçlar için geçerli kontrol ve sigorta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Denetlenen tarafından satın alınan KKD’lerin satın alma faturaları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Operasyonların yapılması için gereken geçerli iş lisansı ve gerek tüm resmi onaylar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Güvenlik ve sektör için uygunlukla ilgili resmi bina sertifikası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Geçerli sertifikalar ve çevreyle ilgili izinler</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İşçiler ve yönetim için eğitim takviminin kanıtları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İşçilere, yönetime ve insan kaynaklarına verilen eğitimlerin belgeye dayalı kanıtı (örn. Katılımcılar listesi ve imzaları)</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Eğitmen yetkinliğine dair belgeye dayalı kanıtlar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İşçilere verilen iş sağlığı ve güvenliği eğitimi ile ilgili belgeye dayalı kanıtlar</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Tehlikeli makinelerle, elektrik tesisatıyla ve yüksek seviyede riskten ötürü belirli bir eğitim gerektiren diğer faaliyetlerle iştigal etmek zorunda kalanların kalifikasyonları için belgeye dayalı kanıtlar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Genç işçilere verilen tüm eğitimlerin dokümantasyonu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Doğruluğun teşviki ve ödüllendirilmesi için iletişim ve eğitimler</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Üretim kapasitesi planlamasıyla ilgili belgeye dayalı kanıt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BSCI Davranış Kuralları ve Uygulama Koşulları’nın önemli iş ortakları arasında dağıtılmış olduğunun kanıtları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lastRenderedPageBreak/>
        <w:t xml:space="preserve"> Eğer tarlalar denetimin parçası ise, imzalanmış BSCI Davranış Kuralları ve ilgili Uygulama Koşulları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İş ortaklarının sosyal performansıyla ilgili deliller (üç aylık raporlar, denetim raporları, geçerli sertifikalar)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BSCI’ın uygulanması için sosyal politika ve prosedürlerin belgeye dayalı kanıtları</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İşçi temsilcisi seçiminin belge olarak kanıtı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Düzenli şekilde yapılan işçi toplantılarının belgeye dayalı kanıtları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İşçi temsilcileriyle anlaşmaların kayıtları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Belgelendirilmiş çalışma kuralları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Yapılan/soruşturulan şikayetlerin belgeye dayalı kanıtları (örn. Doldurulmuş BSCI Şablon 8)</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Toplu Sözleşme Anlaşması (geçerliyse)</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Toplu sözleşme anlaşması ile sonuçlanan toplantı tutanakları veya belgeleri (geçerliyse)</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İşe alım ve işten çıkarma prosedürleri ve kayıtları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Disiplin prosedürleriyle ilgili belgeye dayalı kanıtlar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Disiplin olayları ve alınan önlemlerle ilgili belgeye dayalı kanıtlar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İşçilerin performans değerlendirmeleri ve prosedürlerle ilgili belgeye dayalı kanıtlar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Mallar ve hizmetler için kanuni kesintilere dair belgeye dayalı kanıtlar</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Sektörde geçerli asgari ücretin belgeleri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İşçiler için bordrolar ve ödemelerin belgeye dayalı kanıtları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Adil ücretlendirmeye hızlı bakış tamamlanmış (BSCI Şablon 5)</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Tüm işçilerin özlük dosyaları (mevsimlik işçiler dahil)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Ek sosyal hakların belgeye dayalı kanıtları (ticari sigorta mevcutsa)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Sosyal sigorta fonlarına güncel katkıların belgeye dayalı kanıtları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Ücret aralıklarının listeleri ve parça başı çalışan işçiler de dahil olmak üzere hesaplamalar</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Denetlenenin sektörünü kapsayan hukuki kalıcı istisnaların belgeye dayalı kanıtları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Çalışma süresi kayıtları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İşçilerle anlaşmalar da dahil olmak üzere belgelendirilmiş fazla mesai prosedürü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Kazaların belgelendirilmiş kayırları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Güvenli, sağlıklı ve hijyenik çalışma şartları için risk değerlendirmesi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Güvenli, sağlıklı ve hijyenik çalışma şartları için olan eylem planı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Sektörde geçerli olan iş sağlığı ve güvenliği düzenlemeleri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lastRenderedPageBreak/>
        <w:t xml:space="preserve">Sağlık ve güvenlik kurulu seçim sürecinin belgeye dayalı kanıtları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Sağlık ve güvenlik komitesi toplantılarının tutanakları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Yaş doğrulama prosedürü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Çocuk suistimalinden kaçınma prosedürü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Çocuk işçiliğinin iyileştirilmesi prosedürü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Genç işçiler ve genç kadın işçileri korumak için özel önlemleri içeren risk değerlendirmesi ve ilgili eylem planı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Genç işçilerin genel değerlendirme kayıtları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Genç işçilerin iş döngüsünün değerlendirilmesi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Taşeronların değerlendirilmesi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Şirkette verilen çıraklıkların değerlendirilmesi</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Mevsimlik işçilerin değerlendirilmesi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Çevresel risk değerlendirmesi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Denetlenen aktivitelerin olduğu bölgede maden suları, nehirler, göllerin haritada tespiti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Tüketimin belge niteliğindeki kaydı, kimyasalların çıkarılması ve bertarafı (Malzeme Güvenlik Bilgi Formları dahil – MSDS)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Varsa geçerlilik süresi ve alınacak düzeltici önlemler de dahil olmak üzere bina ve ekipman güvenliğini sağlamak için yapılan resmi kontroller</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Asansörler, elektrikli ekipman, yüksek basınçlı ekipmanlar da dahil olmak ve bunlarla sınırlı olmamak üzere tehlikeli ekipmanlar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Yangın söndürme ekipmanları (örn. Yangın söndürücülerde kontrol etiketleri)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 Üretim tesisleri ve yurtlarda içme suyu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Sıcaklık, gürültü seviyesi ve aydınlatma da dahil olmak üzere tesis ve yurtlarda sağlık ve güvenlik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Minimum sosyal ve çevresel şartlarla uyum için gerekli finansal ve personel kaynaklarının hesaplanması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Yolsuzluk karşıtı politika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 xml:space="preserve">Yolsuzluk risk değerlendirmesi </w:t>
      </w:r>
    </w:p>
    <w:p w:rsidR="00A43719" w:rsidRPr="008C14F8" w:rsidRDefault="00A43719" w:rsidP="00A43719">
      <w:pPr>
        <w:pStyle w:val="ListeParagraf"/>
        <w:numPr>
          <w:ilvl w:val="0"/>
          <w:numId w:val="1"/>
        </w:numPr>
        <w:jc w:val="both"/>
        <w:rPr>
          <w:rFonts w:ascii="Arial" w:hAnsi="Arial" w:cs="Arial"/>
          <w:sz w:val="24"/>
          <w:szCs w:val="24"/>
        </w:rPr>
      </w:pPr>
      <w:r w:rsidRPr="008C14F8">
        <w:rPr>
          <w:rFonts w:ascii="Arial" w:hAnsi="Arial" w:cs="Arial"/>
          <w:sz w:val="24"/>
          <w:szCs w:val="24"/>
        </w:rPr>
        <w:t>Etik olmayan davranışların soruşturulması ve engellenmesi prosedürü</w:t>
      </w:r>
    </w:p>
    <w:p w:rsidR="00BA3DB3" w:rsidRDefault="00BA3DB3"/>
    <w:sectPr w:rsidR="00BA3DB3" w:rsidSect="00BA3DB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825" w:rsidRDefault="00747825" w:rsidP="00A43719">
      <w:pPr>
        <w:spacing w:after="0" w:line="240" w:lineRule="auto"/>
      </w:pPr>
      <w:r>
        <w:separator/>
      </w:r>
    </w:p>
  </w:endnote>
  <w:endnote w:type="continuationSeparator" w:id="1">
    <w:p w:rsidR="00747825" w:rsidRDefault="00747825" w:rsidP="00A43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825" w:rsidRDefault="00747825" w:rsidP="00A43719">
      <w:pPr>
        <w:spacing w:after="0" w:line="240" w:lineRule="auto"/>
      </w:pPr>
      <w:r>
        <w:separator/>
      </w:r>
    </w:p>
  </w:footnote>
  <w:footnote w:type="continuationSeparator" w:id="1">
    <w:p w:rsidR="00747825" w:rsidRDefault="00747825" w:rsidP="00A437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119"/>
      <w:gridCol w:w="3544"/>
      <w:gridCol w:w="1984"/>
      <w:gridCol w:w="1843"/>
    </w:tblGrid>
    <w:tr w:rsidR="00A43719" w:rsidTr="00DA3299">
      <w:tblPrEx>
        <w:tblCellMar>
          <w:top w:w="0" w:type="dxa"/>
          <w:bottom w:w="0" w:type="dxa"/>
        </w:tblCellMar>
      </w:tblPrEx>
      <w:trPr>
        <w:cantSplit/>
        <w:trHeight w:val="340"/>
      </w:trPr>
      <w:tc>
        <w:tcPr>
          <w:tcW w:w="3119" w:type="dxa"/>
          <w:vMerge w:val="restart"/>
          <w:tcBorders>
            <w:right w:val="double" w:sz="4" w:space="0" w:color="auto"/>
          </w:tcBorders>
          <w:vAlign w:val="center"/>
        </w:tcPr>
        <w:p w:rsidR="00A43719" w:rsidRDefault="00A43719" w:rsidP="00DA3299">
          <w:pPr>
            <w:jc w:val="center"/>
            <w:rPr>
              <w:rFonts w:ascii="Arial" w:hAnsi="Arial"/>
              <w:sz w:val="18"/>
            </w:rPr>
          </w:pPr>
          <w:r>
            <w:rPr>
              <w:b/>
              <w:noProof/>
              <w:sz w:val="56"/>
              <w:lang w:eastAsia="tr-TR"/>
            </w:rPr>
            <w:drawing>
              <wp:inline distT="0" distB="0" distL="0" distR="0">
                <wp:extent cx="1838325" cy="514350"/>
                <wp:effectExtent l="19050" t="0" r="9525" b="0"/>
                <wp:docPr id="1" name="Resim 1" descr="enakalite logo 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kalite logo kucuk"/>
                        <pic:cNvPicPr>
                          <a:picLocks noChangeAspect="1" noChangeArrowheads="1"/>
                        </pic:cNvPicPr>
                      </pic:nvPicPr>
                      <pic:blipFill>
                        <a:blip r:embed="rId1"/>
                        <a:srcRect/>
                        <a:stretch>
                          <a:fillRect/>
                        </a:stretch>
                      </pic:blipFill>
                      <pic:spPr bwMode="auto">
                        <a:xfrm>
                          <a:off x="0" y="0"/>
                          <a:ext cx="1838325" cy="514350"/>
                        </a:xfrm>
                        <a:prstGeom prst="rect">
                          <a:avLst/>
                        </a:prstGeom>
                        <a:noFill/>
                        <a:ln w="9525">
                          <a:noFill/>
                          <a:miter lim="800000"/>
                          <a:headEnd/>
                          <a:tailEnd/>
                        </a:ln>
                      </pic:spPr>
                    </pic:pic>
                  </a:graphicData>
                </a:graphic>
              </wp:inline>
            </w:drawing>
          </w:r>
        </w:p>
      </w:tc>
      <w:tc>
        <w:tcPr>
          <w:tcW w:w="3544" w:type="dxa"/>
          <w:vMerge w:val="restart"/>
          <w:tcBorders>
            <w:left w:val="nil"/>
            <w:right w:val="double" w:sz="4" w:space="0" w:color="auto"/>
          </w:tcBorders>
          <w:vAlign w:val="center"/>
        </w:tcPr>
        <w:p w:rsidR="00A43719" w:rsidRDefault="00A43719" w:rsidP="00DA3299">
          <w:pPr>
            <w:pStyle w:val="Balk2"/>
            <w:rPr>
              <w:sz w:val="28"/>
              <w:lang w:val="tr-TR"/>
            </w:rPr>
          </w:pPr>
          <w:r>
            <w:rPr>
              <w:sz w:val="28"/>
              <w:lang w:val="tr-TR"/>
            </w:rPr>
            <w:t>BSCI İÇİN GEREKLİ EVRAK LİSTESİ</w:t>
          </w:r>
        </w:p>
      </w:tc>
      <w:tc>
        <w:tcPr>
          <w:tcW w:w="1984" w:type="dxa"/>
          <w:tcBorders>
            <w:left w:val="double" w:sz="4" w:space="0" w:color="auto"/>
            <w:bottom w:val="single" w:sz="4" w:space="0" w:color="auto"/>
            <w:right w:val="single" w:sz="4" w:space="0" w:color="auto"/>
          </w:tcBorders>
          <w:vAlign w:val="center"/>
        </w:tcPr>
        <w:p w:rsidR="00A43719" w:rsidRDefault="00A43719" w:rsidP="00DA3299">
          <w:pPr>
            <w:pStyle w:val="Balk1"/>
            <w:rPr>
              <w:sz w:val="20"/>
              <w:lang w:val="en-AU"/>
            </w:rPr>
          </w:pPr>
          <w:r>
            <w:rPr>
              <w:sz w:val="20"/>
              <w:lang w:val="en-AU"/>
            </w:rPr>
            <w:t>Döküman Kod No</w:t>
          </w:r>
        </w:p>
      </w:tc>
      <w:tc>
        <w:tcPr>
          <w:tcW w:w="1843" w:type="dxa"/>
          <w:tcBorders>
            <w:top w:val="double" w:sz="4" w:space="0" w:color="auto"/>
            <w:left w:val="nil"/>
            <w:bottom w:val="single" w:sz="4" w:space="0" w:color="auto"/>
            <w:right w:val="double" w:sz="4" w:space="0" w:color="auto"/>
          </w:tcBorders>
          <w:vAlign w:val="center"/>
        </w:tcPr>
        <w:p w:rsidR="00A43719" w:rsidRDefault="00A43719" w:rsidP="00A43719">
          <w:pPr>
            <w:pStyle w:val="Balk1"/>
            <w:rPr>
              <w:sz w:val="20"/>
              <w:lang w:val="en-AU"/>
            </w:rPr>
          </w:pPr>
          <w:r>
            <w:rPr>
              <w:sz w:val="20"/>
              <w:lang w:val="en-AU"/>
            </w:rPr>
            <w:t>0</w:t>
          </w:r>
          <w:r>
            <w:rPr>
              <w:sz w:val="20"/>
              <w:lang w:val="en-AU"/>
            </w:rPr>
            <w:t>1</w:t>
          </w:r>
        </w:p>
      </w:tc>
    </w:tr>
    <w:tr w:rsidR="00A43719" w:rsidTr="00DA3299">
      <w:tblPrEx>
        <w:tblCellMar>
          <w:top w:w="0" w:type="dxa"/>
          <w:bottom w:w="0" w:type="dxa"/>
        </w:tblCellMar>
      </w:tblPrEx>
      <w:trPr>
        <w:cantSplit/>
        <w:trHeight w:val="340"/>
      </w:trPr>
      <w:tc>
        <w:tcPr>
          <w:tcW w:w="3119" w:type="dxa"/>
          <w:vMerge/>
          <w:tcBorders>
            <w:right w:val="double" w:sz="4" w:space="0" w:color="auto"/>
          </w:tcBorders>
        </w:tcPr>
        <w:p w:rsidR="00A43719" w:rsidRDefault="00A43719" w:rsidP="00DA3299">
          <w:pPr>
            <w:rPr>
              <w:rFonts w:ascii="Arial" w:hAnsi="Arial"/>
              <w:sz w:val="18"/>
            </w:rPr>
          </w:pPr>
        </w:p>
      </w:tc>
      <w:tc>
        <w:tcPr>
          <w:tcW w:w="3544" w:type="dxa"/>
          <w:vMerge/>
          <w:tcBorders>
            <w:left w:val="nil"/>
            <w:right w:val="double" w:sz="4" w:space="0" w:color="auto"/>
          </w:tcBorders>
        </w:tcPr>
        <w:p w:rsidR="00A43719" w:rsidRDefault="00A43719" w:rsidP="00DA3299">
          <w:pPr>
            <w:rPr>
              <w:rFonts w:ascii="Arial" w:hAnsi="Arial"/>
              <w:sz w:val="16"/>
            </w:rPr>
          </w:pPr>
        </w:p>
      </w:tc>
      <w:tc>
        <w:tcPr>
          <w:tcW w:w="1984" w:type="dxa"/>
          <w:tcBorders>
            <w:top w:val="single" w:sz="4" w:space="0" w:color="auto"/>
            <w:left w:val="double" w:sz="4" w:space="0" w:color="auto"/>
            <w:bottom w:val="single" w:sz="4" w:space="0" w:color="auto"/>
            <w:right w:val="single" w:sz="4" w:space="0" w:color="auto"/>
          </w:tcBorders>
          <w:vAlign w:val="center"/>
        </w:tcPr>
        <w:p w:rsidR="00A43719" w:rsidRDefault="00A43719" w:rsidP="00DA3299">
          <w:pPr>
            <w:rPr>
              <w:rFonts w:ascii="Arial" w:hAnsi="Arial"/>
              <w:b/>
            </w:rPr>
          </w:pPr>
          <w:r>
            <w:rPr>
              <w:rFonts w:ascii="Arial" w:hAnsi="Arial"/>
              <w:b/>
            </w:rPr>
            <w:t>Yayın Tarihi</w:t>
          </w:r>
        </w:p>
      </w:tc>
      <w:tc>
        <w:tcPr>
          <w:tcW w:w="1843" w:type="dxa"/>
          <w:tcBorders>
            <w:top w:val="single" w:sz="4" w:space="0" w:color="auto"/>
            <w:left w:val="nil"/>
            <w:bottom w:val="single" w:sz="4" w:space="0" w:color="auto"/>
            <w:right w:val="double" w:sz="4" w:space="0" w:color="auto"/>
          </w:tcBorders>
          <w:vAlign w:val="center"/>
        </w:tcPr>
        <w:p w:rsidR="00A43719" w:rsidRDefault="00A43719" w:rsidP="00DA3299">
          <w:pPr>
            <w:jc w:val="center"/>
            <w:rPr>
              <w:rFonts w:ascii="Arial" w:hAnsi="Arial"/>
              <w:b/>
            </w:rPr>
          </w:pPr>
          <w:r>
            <w:rPr>
              <w:rFonts w:ascii="Arial" w:hAnsi="Arial"/>
              <w:b/>
            </w:rPr>
            <w:t>10.01.2020</w:t>
          </w:r>
        </w:p>
      </w:tc>
    </w:tr>
    <w:tr w:rsidR="00A43719" w:rsidTr="00DA3299">
      <w:tblPrEx>
        <w:tblCellMar>
          <w:top w:w="0" w:type="dxa"/>
          <w:bottom w:w="0" w:type="dxa"/>
        </w:tblCellMar>
      </w:tblPrEx>
      <w:trPr>
        <w:cantSplit/>
        <w:trHeight w:val="340"/>
      </w:trPr>
      <w:tc>
        <w:tcPr>
          <w:tcW w:w="3119" w:type="dxa"/>
          <w:vMerge/>
          <w:tcBorders>
            <w:right w:val="double" w:sz="4" w:space="0" w:color="auto"/>
          </w:tcBorders>
        </w:tcPr>
        <w:p w:rsidR="00A43719" w:rsidRDefault="00A43719" w:rsidP="00DA3299">
          <w:pPr>
            <w:rPr>
              <w:rFonts w:ascii="Arial" w:hAnsi="Arial"/>
              <w:sz w:val="18"/>
            </w:rPr>
          </w:pPr>
        </w:p>
      </w:tc>
      <w:tc>
        <w:tcPr>
          <w:tcW w:w="3544" w:type="dxa"/>
          <w:vMerge/>
          <w:tcBorders>
            <w:left w:val="nil"/>
            <w:right w:val="double" w:sz="4" w:space="0" w:color="auto"/>
          </w:tcBorders>
          <w:vAlign w:val="center"/>
        </w:tcPr>
        <w:p w:rsidR="00A43719" w:rsidRDefault="00A43719" w:rsidP="00DA3299">
          <w:pPr>
            <w:jc w:val="center"/>
            <w:rPr>
              <w:rFonts w:ascii="Arial" w:hAnsi="Arial"/>
              <w:sz w:val="16"/>
            </w:rPr>
          </w:pPr>
        </w:p>
      </w:tc>
      <w:tc>
        <w:tcPr>
          <w:tcW w:w="1984" w:type="dxa"/>
          <w:tcBorders>
            <w:top w:val="single" w:sz="4" w:space="0" w:color="auto"/>
            <w:left w:val="double" w:sz="4" w:space="0" w:color="auto"/>
          </w:tcBorders>
          <w:vAlign w:val="center"/>
        </w:tcPr>
        <w:p w:rsidR="00A43719" w:rsidRDefault="00A43719" w:rsidP="00DA3299">
          <w:pPr>
            <w:rPr>
              <w:rFonts w:ascii="Arial" w:hAnsi="Arial"/>
              <w:b/>
            </w:rPr>
          </w:pPr>
          <w:r>
            <w:rPr>
              <w:rFonts w:ascii="Arial" w:hAnsi="Arial"/>
              <w:b/>
            </w:rPr>
            <w:t>Revizyon No</w:t>
          </w:r>
        </w:p>
      </w:tc>
      <w:tc>
        <w:tcPr>
          <w:tcW w:w="1843" w:type="dxa"/>
          <w:tcBorders>
            <w:top w:val="single" w:sz="4" w:space="0" w:color="auto"/>
            <w:bottom w:val="single" w:sz="4" w:space="0" w:color="auto"/>
          </w:tcBorders>
          <w:vAlign w:val="center"/>
        </w:tcPr>
        <w:p w:rsidR="00A43719" w:rsidRDefault="00A43719" w:rsidP="00DA3299">
          <w:pPr>
            <w:jc w:val="center"/>
            <w:rPr>
              <w:rFonts w:ascii="Arial" w:hAnsi="Arial"/>
              <w:b/>
            </w:rPr>
          </w:pPr>
          <w:r>
            <w:rPr>
              <w:rFonts w:ascii="Arial" w:hAnsi="Arial"/>
              <w:b/>
            </w:rPr>
            <w:t>00</w:t>
          </w:r>
        </w:p>
      </w:tc>
    </w:tr>
    <w:tr w:rsidR="00A43719" w:rsidTr="00DA3299">
      <w:tblPrEx>
        <w:tblCellMar>
          <w:top w:w="0" w:type="dxa"/>
          <w:bottom w:w="0" w:type="dxa"/>
        </w:tblCellMar>
      </w:tblPrEx>
      <w:trPr>
        <w:cantSplit/>
        <w:trHeight w:val="340"/>
      </w:trPr>
      <w:tc>
        <w:tcPr>
          <w:tcW w:w="3119" w:type="dxa"/>
          <w:vMerge/>
          <w:tcBorders>
            <w:right w:val="double" w:sz="4" w:space="0" w:color="auto"/>
          </w:tcBorders>
        </w:tcPr>
        <w:p w:rsidR="00A43719" w:rsidRDefault="00A43719" w:rsidP="00DA3299">
          <w:pPr>
            <w:rPr>
              <w:rFonts w:ascii="Arial" w:hAnsi="Arial"/>
              <w:sz w:val="18"/>
            </w:rPr>
          </w:pPr>
        </w:p>
      </w:tc>
      <w:tc>
        <w:tcPr>
          <w:tcW w:w="3544" w:type="dxa"/>
          <w:vMerge/>
          <w:tcBorders>
            <w:left w:val="nil"/>
            <w:right w:val="double" w:sz="4" w:space="0" w:color="auto"/>
          </w:tcBorders>
          <w:vAlign w:val="center"/>
        </w:tcPr>
        <w:p w:rsidR="00A43719" w:rsidRDefault="00A43719" w:rsidP="00DA3299">
          <w:pPr>
            <w:jc w:val="center"/>
            <w:rPr>
              <w:rFonts w:ascii="Arial" w:hAnsi="Arial"/>
              <w:sz w:val="16"/>
            </w:rPr>
          </w:pPr>
        </w:p>
      </w:tc>
      <w:tc>
        <w:tcPr>
          <w:tcW w:w="1984" w:type="dxa"/>
          <w:tcBorders>
            <w:top w:val="single" w:sz="4" w:space="0" w:color="auto"/>
            <w:left w:val="double" w:sz="4" w:space="0" w:color="auto"/>
          </w:tcBorders>
          <w:vAlign w:val="center"/>
        </w:tcPr>
        <w:p w:rsidR="00A43719" w:rsidRDefault="00A43719" w:rsidP="00DA3299">
          <w:pPr>
            <w:rPr>
              <w:rFonts w:ascii="Arial" w:hAnsi="Arial"/>
              <w:b/>
            </w:rPr>
          </w:pPr>
          <w:r>
            <w:rPr>
              <w:rFonts w:ascii="Arial" w:hAnsi="Arial"/>
              <w:b/>
            </w:rPr>
            <w:t>Revizyon Tarihi</w:t>
          </w:r>
        </w:p>
      </w:tc>
      <w:tc>
        <w:tcPr>
          <w:tcW w:w="1843" w:type="dxa"/>
          <w:tcBorders>
            <w:top w:val="single" w:sz="4" w:space="0" w:color="auto"/>
            <w:bottom w:val="single" w:sz="4" w:space="0" w:color="auto"/>
          </w:tcBorders>
          <w:vAlign w:val="center"/>
        </w:tcPr>
        <w:p w:rsidR="00A43719" w:rsidRDefault="00A43719" w:rsidP="00DA3299">
          <w:pPr>
            <w:jc w:val="center"/>
            <w:rPr>
              <w:rFonts w:ascii="Arial" w:hAnsi="Arial"/>
              <w:b/>
            </w:rPr>
          </w:pPr>
        </w:p>
      </w:tc>
    </w:tr>
    <w:tr w:rsidR="00A43719" w:rsidTr="00DA3299">
      <w:tblPrEx>
        <w:tblCellMar>
          <w:top w:w="0" w:type="dxa"/>
          <w:bottom w:w="0" w:type="dxa"/>
        </w:tblCellMar>
      </w:tblPrEx>
      <w:trPr>
        <w:cantSplit/>
        <w:trHeight w:val="340"/>
      </w:trPr>
      <w:tc>
        <w:tcPr>
          <w:tcW w:w="3119" w:type="dxa"/>
          <w:vMerge/>
          <w:tcBorders>
            <w:right w:val="double" w:sz="4" w:space="0" w:color="auto"/>
          </w:tcBorders>
        </w:tcPr>
        <w:p w:rsidR="00A43719" w:rsidRDefault="00A43719" w:rsidP="00DA3299">
          <w:pPr>
            <w:rPr>
              <w:rFonts w:ascii="Arial" w:hAnsi="Arial"/>
              <w:sz w:val="18"/>
            </w:rPr>
          </w:pPr>
        </w:p>
      </w:tc>
      <w:tc>
        <w:tcPr>
          <w:tcW w:w="3544" w:type="dxa"/>
          <w:vMerge/>
          <w:tcBorders>
            <w:left w:val="nil"/>
            <w:right w:val="double" w:sz="4" w:space="0" w:color="auto"/>
          </w:tcBorders>
        </w:tcPr>
        <w:p w:rsidR="00A43719" w:rsidRDefault="00A43719" w:rsidP="00DA3299">
          <w:pPr>
            <w:rPr>
              <w:rFonts w:ascii="Arial" w:hAnsi="Arial"/>
              <w:sz w:val="18"/>
            </w:rPr>
          </w:pPr>
        </w:p>
      </w:tc>
      <w:tc>
        <w:tcPr>
          <w:tcW w:w="1984" w:type="dxa"/>
          <w:tcBorders>
            <w:left w:val="double" w:sz="4" w:space="0" w:color="auto"/>
          </w:tcBorders>
          <w:vAlign w:val="center"/>
        </w:tcPr>
        <w:p w:rsidR="00A43719" w:rsidRDefault="00A43719" w:rsidP="00DA3299">
          <w:pPr>
            <w:rPr>
              <w:rFonts w:ascii="Arial" w:hAnsi="Arial"/>
              <w:b/>
            </w:rPr>
          </w:pPr>
          <w:r>
            <w:rPr>
              <w:rFonts w:ascii="Arial" w:hAnsi="Arial"/>
              <w:b/>
            </w:rPr>
            <w:t>Sayfa No</w:t>
          </w:r>
        </w:p>
      </w:tc>
      <w:tc>
        <w:tcPr>
          <w:tcW w:w="1843" w:type="dxa"/>
          <w:tcBorders>
            <w:top w:val="single" w:sz="4" w:space="0" w:color="auto"/>
            <w:bottom w:val="double" w:sz="4" w:space="0" w:color="auto"/>
          </w:tcBorders>
          <w:vAlign w:val="center"/>
        </w:tcPr>
        <w:p w:rsidR="00A43719" w:rsidRDefault="00A43719" w:rsidP="00DA3299">
          <w:pPr>
            <w:jc w:val="center"/>
            <w:rPr>
              <w:rFonts w:ascii="Arial" w:hAnsi="Arial"/>
              <w:b/>
              <w:bC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r>
            <w:rPr>
              <w:rStyle w:val="SayfaNumaras"/>
              <w:b/>
              <w:bCs/>
            </w:rPr>
            <w:t>/</w:t>
          </w:r>
          <w:r>
            <w:rPr>
              <w:rStyle w:val="SayfaNumaras"/>
            </w:rPr>
            <w:fldChar w:fldCharType="begin"/>
          </w:r>
          <w:r>
            <w:rPr>
              <w:rStyle w:val="SayfaNumaras"/>
            </w:rPr>
            <w:instrText xml:space="preserve"> NUMPAGES </w:instrText>
          </w:r>
          <w:r>
            <w:rPr>
              <w:rStyle w:val="SayfaNumaras"/>
            </w:rPr>
            <w:fldChar w:fldCharType="separate"/>
          </w:r>
          <w:r>
            <w:rPr>
              <w:rStyle w:val="SayfaNumaras"/>
              <w:noProof/>
            </w:rPr>
            <w:t>3</w:t>
          </w:r>
          <w:r>
            <w:rPr>
              <w:rStyle w:val="SayfaNumaras"/>
            </w:rPr>
            <w:fldChar w:fldCharType="end"/>
          </w:r>
        </w:p>
      </w:tc>
    </w:tr>
  </w:tbl>
  <w:p w:rsidR="00A43719" w:rsidRDefault="00A4371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A2B6D"/>
    <w:multiLevelType w:val="hybridMultilevel"/>
    <w:tmpl w:val="4644FE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43719"/>
    <w:rsid w:val="00747825"/>
    <w:rsid w:val="00A43719"/>
    <w:rsid w:val="00BA3D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19"/>
  </w:style>
  <w:style w:type="paragraph" w:styleId="Balk1">
    <w:name w:val="heading 1"/>
    <w:basedOn w:val="Normal"/>
    <w:next w:val="Normal"/>
    <w:link w:val="Balk1Char"/>
    <w:qFormat/>
    <w:rsid w:val="00A43719"/>
    <w:pPr>
      <w:keepNext/>
      <w:spacing w:after="0" w:line="240" w:lineRule="auto"/>
      <w:outlineLvl w:val="0"/>
    </w:pPr>
    <w:rPr>
      <w:rFonts w:ascii="Arial" w:eastAsia="Times New Roman" w:hAnsi="Arial" w:cs="Times New Roman"/>
      <w:b/>
      <w:bCs/>
      <w:sz w:val="14"/>
      <w:szCs w:val="20"/>
      <w:lang w:val="fr-FR" w:eastAsia="tr-TR"/>
    </w:rPr>
  </w:style>
  <w:style w:type="paragraph" w:styleId="Balk2">
    <w:name w:val="heading 2"/>
    <w:basedOn w:val="Normal"/>
    <w:next w:val="Normal"/>
    <w:link w:val="Balk2Char"/>
    <w:qFormat/>
    <w:rsid w:val="00A43719"/>
    <w:pPr>
      <w:keepNext/>
      <w:spacing w:after="0" w:line="240" w:lineRule="auto"/>
      <w:jc w:val="center"/>
      <w:outlineLvl w:val="1"/>
    </w:pPr>
    <w:rPr>
      <w:rFonts w:ascii="Arial" w:eastAsia="Times New Roman" w:hAnsi="Arial" w:cs="Times New Roman"/>
      <w:b/>
      <w:sz w:val="16"/>
      <w:szCs w:val="20"/>
      <w:lang w:val="fr-F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719"/>
    <w:pPr>
      <w:ind w:left="720"/>
      <w:contextualSpacing/>
    </w:pPr>
  </w:style>
  <w:style w:type="paragraph" w:styleId="stbilgi">
    <w:name w:val="header"/>
    <w:basedOn w:val="Normal"/>
    <w:link w:val="stbilgiChar"/>
    <w:uiPriority w:val="99"/>
    <w:semiHidden/>
    <w:unhideWhenUsed/>
    <w:rsid w:val="00A4371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43719"/>
  </w:style>
  <w:style w:type="paragraph" w:styleId="Altbilgi">
    <w:name w:val="footer"/>
    <w:basedOn w:val="Normal"/>
    <w:link w:val="AltbilgiChar"/>
    <w:uiPriority w:val="99"/>
    <w:semiHidden/>
    <w:unhideWhenUsed/>
    <w:rsid w:val="00A4371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43719"/>
  </w:style>
  <w:style w:type="character" w:customStyle="1" w:styleId="Balk1Char">
    <w:name w:val="Başlık 1 Char"/>
    <w:basedOn w:val="VarsaylanParagrafYazTipi"/>
    <w:link w:val="Balk1"/>
    <w:rsid w:val="00A43719"/>
    <w:rPr>
      <w:rFonts w:ascii="Arial" w:eastAsia="Times New Roman" w:hAnsi="Arial" w:cs="Times New Roman"/>
      <w:b/>
      <w:bCs/>
      <w:sz w:val="14"/>
      <w:szCs w:val="20"/>
      <w:lang w:val="fr-FR" w:eastAsia="tr-TR"/>
    </w:rPr>
  </w:style>
  <w:style w:type="character" w:customStyle="1" w:styleId="Balk2Char">
    <w:name w:val="Başlık 2 Char"/>
    <w:basedOn w:val="VarsaylanParagrafYazTipi"/>
    <w:link w:val="Balk2"/>
    <w:rsid w:val="00A43719"/>
    <w:rPr>
      <w:rFonts w:ascii="Arial" w:eastAsia="Times New Roman" w:hAnsi="Arial" w:cs="Times New Roman"/>
      <w:b/>
      <w:sz w:val="16"/>
      <w:szCs w:val="20"/>
      <w:lang w:val="fr-FR" w:eastAsia="tr-TR"/>
    </w:rPr>
  </w:style>
  <w:style w:type="character" w:styleId="SayfaNumaras">
    <w:name w:val="page number"/>
    <w:basedOn w:val="VarsaylanParagrafYazTipi"/>
    <w:rsid w:val="00A43719"/>
  </w:style>
  <w:style w:type="paragraph" w:styleId="BalonMetni">
    <w:name w:val="Balloon Text"/>
    <w:basedOn w:val="Normal"/>
    <w:link w:val="BalonMetniChar"/>
    <w:uiPriority w:val="99"/>
    <w:semiHidden/>
    <w:unhideWhenUsed/>
    <w:rsid w:val="00A437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37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2021-02-03T22:37:00Z</dcterms:created>
  <dcterms:modified xsi:type="dcterms:W3CDTF">2021-02-03T22:40:00Z</dcterms:modified>
</cp:coreProperties>
</file>